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 fenômeno eSports no espaço da Educação Profissional e Tecnológica: traçando um perfil da comunidade gamer do IFMS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Arthur Henrique Calado¹ Emily Flores Santos ² Witória Silva de Souza³, Jiyan Yari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Arnaldo Pinheiro Mont’Alvão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Instituto Federal de Educação, Ciência e Tecnologia de Mato Grosso do Sul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Campo Grande - IFMS –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arthur.calado@estudante.ifms.edu.br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emily.santos2@estudante.ifms.edu.br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witoria.souza@estudante.ifms.edu.br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jiyan.yari@ifms.edu.br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arnaldo.montalvao@ifms.edu.br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Área/Subárea: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Ciências Humanas; Sociais Aplicadas/Economia; Sociologia.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       Tipo de Pesquisa: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  <w:sectPr>
          <w:headerReference r:id="rId8" w:type="default"/>
          <w:footerReference r:id="rId9" w:type="default"/>
          <w:pgSz w:h="16838" w:w="11906" w:orient="portrait"/>
          <w:pgMar w:bottom="1134" w:top="1985" w:left="1134" w:right="567" w:header="284" w:footer="1418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eSports. Jogos eletrônicos. Mercado global. Atletas. Perfil Gamer.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Introdução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mercado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eSports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vêm se destacando de forma exponencial nos últimos anos, principalmente devido aos altos investimentos e cifras que envolvem todo o ecossistema.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Todo esse esforço financeiro tem captado mais patrocinadores, o que tem gerado campeonatos cada vez mais divulgados, com participação de mais países e times mais qualificados disputando prêmios maiores, tendo como consequência taxas muito altas de audiência, sendo que a final do mundial de LoL (League of Legends) se tornou o segundo maior evento assistido em 2020. Neste contexto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eSports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cresce a cada dia, movimentando ainda mais o mercado.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Pode-se considerar como catalisador desse processo, a pandemia da Covid-19, que, obrigando as pessoas a ficarem mais em casa, mudou os hábitos de lazer, direcionando o comportamento a busca por entretenimentos mais voltados ao mundo virtual, principalmente no que concerne dos jogos online, estimulando grandes organizações como a BBL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(Bad Boy Leeroy - grupo focado em entretenimento e em conectar marcas e desenvolvedoras ao público gamer)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e a Final Level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(plataforma de conteúdo e entretenimento gamer)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 realização de campeonatos voltados ao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eSports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 Brasil, dentre as empresas que contêm os investimentos mais expressivos, estão a Havan, a LOUD e o Corinthians e-Sports. As aplicações abrangem desde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game-office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que trata-se de centros de treinamento especializado, relações de competição, até serviços de streaming. Com a difusão e a popularização dos jogos eletrônicos na sociedade, principalmente entre o público jovem e adolescente, nota-se na comunidade do Instituto Federal de Mato Grosso do Sul - Campus Campo Grande, características advindas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e-Sports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a construção de um “perfil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gamer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 dos estudantes.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Metodologia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color w:val="ff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Foram realizadas pesquisas a fim de compreender o mecanismo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e-Sports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 seu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 processos vigentes que o cercam, desde a formação de atletas, equipes, marketing ao sistema lucrativo do cenário que compõem o sistema.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Foi realizada uma entrevista com um desenvolvedor de jogos, Peterson da Silva Santos, em relação ao desenvolvimento de jogos e suas áreas de abrangência.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etapa final constitui-se na aplicação de questionários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para análise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 “perfil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gamer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 da comunidade acadêmica do IFMS - CG,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Resultados e Análise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partir do questionário aplicado,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cujo 87 (oitenta e sete) alunos responderam, estabeleceu-se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 seguintes resultados.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Tendo como indicadores a presença dos jogos no cotidiano dos estudantes, verifica-se que 77,1% dos alunos acessam jogos online semanalmente e apenas 22,9% tendem ao não acesso frequente (Figura 1).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546985" cy="1563774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5637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1.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Frequência do acesso aos jogos online.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Com relação à quantidade de horas de jogo online diário, 44,8% dos estudantes dedicam de 2 a 3 horas por dia, 17,2% de 4 a 5 horas e 14,9% mais do que 5 horas (Figura 2). O total de alunos que dedicam mais de 2 horas por dia, portanto, é de 76,9%. Essa taxa demonstra a popularidade dos jogos online entre adolescentes, porém, pode ser um fator preocupante a acarretar prejuízo aos estudos.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2499360" cy="1527387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527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2.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Quantidade de tempo destinada aos jogos.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popularidade desses jogos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como demonstrado na Figura 3, pode ser justificada devido a acessibilidade fornecida aos jogadores, tendo em vista que os jogos citados acima possuem dificuldade balanceada e a caraterística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free-to-play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que se tratam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games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que podem ser jogados sem efetuar pagamentos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</w:rPr>
        <w:drawing>
          <wp:inline distB="114300" distT="114300" distL="114300" distR="114300">
            <wp:extent cx="2763202" cy="1776952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3202" cy="17769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3.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Popularidade dos jogos.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Dos 23% dos entrevistados que já participaram de alguma competição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e-Sports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60% jogam todos os dias, e quanto a carga horária, 65% jogam, em média, a partir de quatro horas diárias (Figura 4).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862716" cy="1541462"/>
            <wp:effectExtent b="0" l="0" r="0" t="0"/>
            <wp:docPr id="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716" cy="1541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Figura 4.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Frequência diária jogada em horas por dia e quantidade de vezes que costuma jogar por semana.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tendência é que cada vez mais os jogos se tornem populares, devido a característica de acessibilidade buscada pelos principais games desenvolvidos no mercado, tais como Free-fire, League of Legends e FIFA, os quais demonstram relevância de popularidade entre os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gamers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”. Conclui-se que a presença do cenário competitivo no cotidiano dos estudantes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é expressiva, tendo em vista que um a cada quatro alunos, aproximadamente 23% em relação ao total de entrevistados, já participaram de torneios competitivos,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corroborando, portanto, com o alto período de horas jogadas por dia, já que isso direciona no sentido de que não são horas especificamente voltadas apenas para o lazer e entretenimento, mas sim ao treinamento necessário para participação em competições.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Agradecimentos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Agradecemos primeiramente a instituição pela oportunidade e pelo apoio  para a realização desta pesquisa. A todos aqueles que contribuíram, de alguma forma, para a execução do trabalho. Aos orientadores, Arnaldo Pinheiro Mont'Alvão Júnior e Jiyan Yari pelo suporte. Ressaltamos a boa colaboração entre os integrantes do grupo para a conclusão do projeto.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2efd9" w:val="clear"/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40" w:lineRule="auto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PRADO, Matheus.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rtl w:val="0"/>
        </w:rPr>
        <w:t xml:space="preserve">‘Novo da Havan’: Lucas Hang, filho de Luciano, vai investir R$ 30 mi em eSports.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CNN Brasil, 2020. Disponível em: &lt;https://www.cnnbrasil.com.br/business/novo-da-havan-lucas-hang-filho-de-luciano-vai-investir-r-30-mi-em-esports/&gt;. Acesso em: 18 de fevereiro de 2020. </w:t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Times New Roman" w:cs="Times New Roman" w:eastAsia="Times New Roman" w:hAnsi="Times New Roman"/>
          <w:color w:val="26262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CALADO, Arthur, SANTOS, Emily, SOUZA, Witória.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0"/>
          <w:szCs w:val="20"/>
          <w:rtl w:val="0"/>
        </w:rPr>
        <w:t xml:space="preserve">Entrevista com Peterson da Silva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0"/>
          <w:szCs w:val="20"/>
          <w:rtl w:val="0"/>
        </w:rPr>
        <w:t xml:space="preserve">. Google Drive, 2021. Disponível em: 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drive.google.com/file/d/1QStQn1S1WBZQqlEKhQ780C7stX-L8ZQ9/view?usp=sharing&gt;. Acesso em: 09 de junho de 2021.</w:t>
      </w:r>
    </w:p>
    <w:p w:rsidR="00000000" w:rsidDel="00000000" w:rsidP="00000000" w:rsidRDefault="00000000" w:rsidRPr="00000000" w14:paraId="00000024">
      <w:pPr>
        <w:spacing w:after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540"/>
        </w:tabs>
        <w:spacing w:after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GERARDI, Lucas.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d1e1f"/>
          <w:sz w:val="20"/>
          <w:szCs w:val="20"/>
          <w:highlight w:val="white"/>
          <w:rtl w:val="0"/>
        </w:rPr>
        <w:t xml:space="preserve">VALORANT: Copa Rakin retorna com circuito anual em parceria com Final Level e BBL. </w:t>
      </w:r>
      <w:r w:rsidDel="00000000" w:rsidR="00000000" w:rsidRPr="00000000">
        <w:rPr>
          <w:rFonts w:ascii="Times New Roman" w:cs="Times New Roman" w:eastAsia="Times New Roman" w:hAnsi="Times New Roman"/>
          <w:color w:val="1d1e1f"/>
          <w:sz w:val="20"/>
          <w:szCs w:val="20"/>
          <w:highlight w:val="white"/>
          <w:rtl w:val="0"/>
        </w:rPr>
        <w:t xml:space="preserve">ESPN, 2021. Disponível em: 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espn.com.br/esports/artigo/_/id/8695976/valorant-copa-rakin-retorna-com-circuito-anual-em-parceria-com-final-level-e-bbl&gt;</w:t>
      </w:r>
    </w:p>
    <w:p w:rsidR="00000000" w:rsidDel="00000000" w:rsidP="00000000" w:rsidRDefault="00000000" w:rsidRPr="00000000" w14:paraId="00000026">
      <w:pPr>
        <w:tabs>
          <w:tab w:val="left" w:pos="3540"/>
        </w:tabs>
        <w:spacing w:after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BIANCHI, Leonardo.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Bruno PlayHard fala sobre o "Padrão LOUD de qualidade" e a expansão da org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sz w:val="20"/>
          <w:szCs w:val="20"/>
          <w:rtl w:val="0"/>
        </w:rPr>
        <w:t xml:space="preserve"> GGWP, 2020. Disponível em: &lt;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ggwp.blogosfera.uol.com.br/2020/06/30/bruno-playhard-fala-sobre-o-padrao-loud-de-qualidade/&gt;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Acesso: 04 de março de 2021</w:t>
      </w:r>
    </w:p>
    <w:p w:rsidR="00000000" w:rsidDel="00000000" w:rsidP="00000000" w:rsidRDefault="00000000" w:rsidRPr="00000000" w14:paraId="00000028">
      <w:pPr>
        <w:spacing w:after="16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DANA, Samy, DE NUCCIO, Dony.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Como investir em games: um mercado de US$ 160 bilhões.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Invest News, 2020. Disponível em: &lt;investnews.com.br/cafeina/como-investir-em-games/&gt; Acesso em: 22 de novembro de 2020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1985" w:left="1134" w:right="567" w:header="284" w:footer="1418"/>
      <w:cols w:equalWidth="0" w:num="2">
        <w:col w:space="454" w:w="4875.499999999999"/>
        <w:col w:space="0" w:w="4875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3813</wp:posOffset>
          </wp:positionH>
          <wp:positionV relativeFrom="paragraph">
            <wp:posOffset>33655</wp:posOffset>
          </wp:positionV>
          <wp:extent cx="6486525" cy="495300"/>
          <wp:effectExtent b="0" l="0" r="0" t="0"/>
          <wp:wrapNone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7624</wp:posOffset>
          </wp:positionH>
          <wp:positionV relativeFrom="paragraph">
            <wp:posOffset>304800</wp:posOffset>
          </wp:positionV>
          <wp:extent cx="6486525" cy="495300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iyan.yari@ifms.edu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xhQWa5zM7fz3a3i6VHu40xUskQ==">AMUW2mX6I3zQ0LXZVSV75FKfy38KxaGNH9luLyZlkXLmQccafj9HIQOffT5f6qymXYBV/TY2UbgLUXPmUHUXBLGrMMJQ8ucPK/vloxyWNo2ycteC5q/T7CKb6HPXuyNn4yna7SX9r6r9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2021-08-30T07:39:00Z</dcterms:created>
</cp:coreProperties>
</file>